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skladu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članom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344.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Zakona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privrednim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društvima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(„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Sl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glasnik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RS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36/2011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99/2011),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Odluke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sazivanju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„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KIKINDSKI</w:t>
      </w:r>
      <w:r w:rsidR="004A4FF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MLIN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“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održava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2</w:t>
      </w:r>
      <w:r w:rsidR="00331DC3">
        <w:rPr>
          <w:rFonts w:ascii="Arial Narrow" w:hAnsi="Arial Narrow" w:cs="Times New Roman"/>
          <w:b/>
          <w:noProof/>
          <w:sz w:val="18"/>
          <w:szCs w:val="18"/>
          <w:lang w:val="sr-Latn-CS"/>
        </w:rPr>
        <w:t>9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.06.201</w:t>
      </w:r>
      <w:r w:rsidR="00457385">
        <w:rPr>
          <w:rFonts w:ascii="Arial Narrow" w:hAnsi="Arial Narrow" w:cs="Times New Roman"/>
          <w:b/>
          <w:noProof/>
          <w:sz w:val="18"/>
          <w:szCs w:val="18"/>
          <w:lang w:val="sr-Latn-CS"/>
        </w:rPr>
        <w:t>6</w:t>
      </w:r>
      <w:r w:rsidR="00846D32" w:rsidRPr="003A15AD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godine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prostorijama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4A4FF2" w:rsidRPr="007940C0">
        <w:rPr>
          <w:rFonts w:ascii="Arial Narrow" w:hAnsi="Arial Narrow"/>
          <w:noProof/>
          <w:sz w:val="18"/>
          <w:szCs w:val="18"/>
          <w:lang w:val="sr-Latn-CS"/>
        </w:rPr>
        <w:t>društva</w:t>
      </w:r>
      <w:r w:rsidR="00B83C59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4A4FF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Svetozara Miletića  br. 198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</w:t>
      </w:r>
      <w:r w:rsidR="00F41441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početkom</w:t>
      </w:r>
      <w:r w:rsidR="00F41441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F41441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1</w:t>
      </w:r>
      <w:r w:rsidR="003A15AD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2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,</w:t>
      </w:r>
      <w:r w:rsidR="00846D32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00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časova</w:t>
      </w:r>
    </w:p>
    <w:p w:rsidR="00846D32" w:rsidRPr="007940C0" w:rsidRDefault="00311732" w:rsidP="00846D32">
      <w:pPr>
        <w:spacing w:after="0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</w:p>
    <w:p w:rsidR="00CD3903" w:rsidRPr="007940C0" w:rsidRDefault="00CD3903" w:rsidP="00CD3903">
      <w:pPr>
        <w:spacing w:before="120" w:after="12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____________________________________, </w:t>
      </w:r>
      <w:r w:rsidR="003117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JMBG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/</w:t>
      </w:r>
      <w:r w:rsidR="003117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MB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:_____________________;  </w:t>
      </w:r>
      <w:r w:rsidR="003117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ul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_________________________ </w:t>
      </w:r>
    </w:p>
    <w:p w:rsidR="00CD3903" w:rsidRPr="007940C0" w:rsidRDefault="00311732" w:rsidP="00CD3903">
      <w:pPr>
        <w:spacing w:after="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br</w:t>
      </w:r>
      <w:r w:rsidR="00CD3903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______ ,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koga</w:t>
      </w:r>
      <w:r w:rsidR="00CD3903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zastupa</w:t>
      </w:r>
      <w:r w:rsidR="00CD3903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________________________________________________</w:t>
      </w:r>
    </w:p>
    <w:p w:rsidR="00846D32" w:rsidRPr="007940C0" w:rsidRDefault="00846D32" w:rsidP="00CD3903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jedinstveni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građana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prebivalište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domaće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pasoša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drugi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identifikacioni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prebivalište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strano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domaće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pradno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registracije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drugi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identifikacioni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strano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846D32" w:rsidRPr="007940C0" w:rsidRDefault="00311732" w:rsidP="00846D32">
      <w:pPr>
        <w:spacing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obaveštenju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Nadzornog</w:t>
      </w:r>
      <w:r w:rsidR="0097755A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odbora</w:t>
      </w:r>
      <w:r w:rsidR="0097755A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F41441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KIKINDSKI</w:t>
      </w:r>
      <w:r w:rsidR="004A4FF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MLIN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4A4FF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2</w:t>
      </w:r>
      <w:r w:rsidR="00457385">
        <w:rPr>
          <w:rFonts w:ascii="Arial Narrow" w:hAnsi="Arial Narrow" w:cs="Times New Roman"/>
          <w:b/>
          <w:noProof/>
          <w:sz w:val="18"/>
          <w:szCs w:val="18"/>
          <w:lang w:val="sr-Latn-CS"/>
        </w:rPr>
        <w:t>9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.05.201</w:t>
      </w:r>
      <w:r w:rsidR="00CE7F46">
        <w:rPr>
          <w:rFonts w:ascii="Arial Narrow" w:hAnsi="Arial Narrow" w:cs="Times New Roman"/>
          <w:b/>
          <w:noProof/>
          <w:sz w:val="18"/>
          <w:szCs w:val="18"/>
          <w:lang w:val="sr-Latn-CS"/>
        </w:rPr>
        <w:t>6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daje</w:t>
      </w:r>
    </w:p>
    <w:p w:rsidR="00846D32" w:rsidRPr="007940C0" w:rsidRDefault="00311732" w:rsidP="00846D32">
      <w:pPr>
        <w:spacing w:line="240" w:lineRule="auto"/>
        <w:jc w:val="center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GLASANJE</w:t>
      </w:r>
    </w:p>
    <w:p w:rsidR="00846D32" w:rsidRPr="007940C0" w:rsidRDefault="00311732" w:rsidP="00CD3903">
      <w:pPr>
        <w:spacing w:after="12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Ovim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punomoćjem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ovlašćujem</w:t>
      </w:r>
    </w:p>
    <w:p w:rsidR="005D174E" w:rsidRDefault="00F823DD" w:rsidP="00846D32">
      <w:pPr>
        <w:spacing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___________________________________________________________________________________________________________________________________</w:t>
      </w:r>
    </w:p>
    <w:p w:rsidR="00F823DD" w:rsidRPr="007940C0" w:rsidRDefault="00F823DD" w:rsidP="00846D32">
      <w:pPr>
        <w:spacing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______________________________________________________________</w:t>
      </w:r>
      <w:r w:rsidR="005D174E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_____________________________________________________________________</w:t>
      </w:r>
    </w:p>
    <w:p w:rsidR="00846D32" w:rsidRPr="007940C0" w:rsidRDefault="00846D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jedinstveni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građana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prebivalište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domaće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pasoša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drugi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identifikacioni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prebivalište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strano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domaće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pradno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registracije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drugi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identifikacioni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strano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846D32" w:rsidRPr="007940C0" w:rsidRDefault="00846D32" w:rsidP="00846D32">
      <w:pPr>
        <w:spacing w:after="0" w:line="240" w:lineRule="auto"/>
        <w:jc w:val="both"/>
        <w:rPr>
          <w:rFonts w:ascii="Arial Narrow" w:hAnsi="Arial Narrow" w:cs="Times New Roman"/>
          <w:i/>
          <w:noProof/>
          <w:sz w:val="18"/>
          <w:szCs w:val="18"/>
          <w:lang w:val="sr-Latn-CS"/>
        </w:rPr>
      </w:pPr>
    </w:p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račun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potpisnika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ovog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vrši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sadržano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akcijama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emitenta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KIKINDSKI</w:t>
      </w:r>
      <w:r w:rsidR="006A1EB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MLIN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6E6DF9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ukupno</w:t>
      </w:r>
      <w:r w:rsidR="006E6DF9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3903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__________</w:t>
      </w:r>
      <w:r w:rsidR="006E6DF9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običnih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akcija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ISIN broj </w:t>
      </w:r>
      <w:r w:rsidR="00CD3903" w:rsidRPr="007940C0">
        <w:rPr>
          <w:rFonts w:ascii="Arial Narrow" w:eastAsia="Calibri" w:hAnsi="Arial Narrow" w:cs="Times New Roman"/>
          <w:noProof/>
          <w:sz w:val="18"/>
          <w:szCs w:val="18"/>
          <w:lang w:val="sr-Latn-CS"/>
        </w:rPr>
        <w:t>RS</w:t>
      </w:r>
      <w:r w:rsidR="006A1EB2" w:rsidRPr="007940C0">
        <w:rPr>
          <w:rFonts w:ascii="Arial Narrow" w:eastAsia="Calibri" w:hAnsi="Arial Narrow" w:cs="Times New Roman"/>
          <w:noProof/>
          <w:sz w:val="18"/>
          <w:szCs w:val="18"/>
          <w:lang w:val="sr-Latn-CS"/>
        </w:rPr>
        <w:t>KIMLE32222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CFI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kod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ESVUFR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Skupštini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KIKINDSKI</w:t>
      </w:r>
      <w:r w:rsidR="0022463D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MLIN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zakazana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2</w:t>
      </w:r>
      <w:r w:rsidR="00331DC3">
        <w:rPr>
          <w:rFonts w:ascii="Arial Narrow" w:hAnsi="Arial Narrow" w:cs="Times New Roman"/>
          <w:b/>
          <w:noProof/>
          <w:sz w:val="18"/>
          <w:szCs w:val="18"/>
          <w:lang w:val="sr-Latn-CS"/>
        </w:rPr>
        <w:t>9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.06.201</w:t>
      </w:r>
      <w:r w:rsidR="00457385">
        <w:rPr>
          <w:rFonts w:ascii="Arial Narrow" w:hAnsi="Arial Narrow" w:cs="Times New Roman"/>
          <w:b/>
          <w:noProof/>
          <w:sz w:val="18"/>
          <w:szCs w:val="18"/>
          <w:lang w:val="sr-Latn-CS"/>
        </w:rPr>
        <w:t>7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godine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kojih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svaka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obična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akcija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emitenta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„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KIKINDSKI</w:t>
      </w:r>
      <w:r w:rsidR="0022463D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MLIN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“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</w:t>
      </w:r>
      <w:r w:rsidR="00CD3903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KIKINDA</w:t>
      </w:r>
      <w:r w:rsidR="0022463D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nosi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jedan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glas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846D32" w:rsidRPr="007940C0" w:rsidRDefault="00846D32" w:rsidP="00846D32">
      <w:pPr>
        <w:spacing w:after="0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</w:p>
    <w:p w:rsidR="00846D32" w:rsidRPr="007940C0" w:rsidRDefault="00311732" w:rsidP="00846D32">
      <w:pPr>
        <w:jc w:val="center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INSTRUKCIJE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UPUTSTVA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PO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SVAKOJ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TAČKI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PREDLOŽENOG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DNEVNOG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REDA</w:t>
      </w:r>
    </w:p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Ovim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punomoćjem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dajem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sledeće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instrukcije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uputstva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tačkama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dnevnog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reda</w:t>
      </w:r>
    </w:p>
    <w:p w:rsidR="00846D32" w:rsidRPr="001F1A90" w:rsidRDefault="00846D32" w:rsidP="00B12E49">
      <w:pPr>
        <w:spacing w:after="6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/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Akcionar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koji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daje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punomoćje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unosi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tačkama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dnevnog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reda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odgovor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„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“,“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PROTIV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“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ili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“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UZDRŽAN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“,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svojeručnim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potpisom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pored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unete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reči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svaku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tačku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dnevnog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reda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daje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punomoćniku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instrukciju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i</w:t>
      </w:r>
      <w:r w:rsidR="0089042C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uputstvo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o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načinu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glasanja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po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tačkama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predloženog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dnevnog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reda</w:t>
      </w: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sednice</w:t>
      </w:r>
      <w:r w:rsidR="00F41441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</w:p>
    <w:p w:rsidR="00846D32" w:rsidRDefault="00846D32" w:rsidP="00846D32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3A15AD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A15AD" w:rsidRPr="0097682E" w:rsidRDefault="003A15AD" w:rsidP="004D5E05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97682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Tačke dnevnog reda</w:t>
            </w:r>
          </w:p>
        </w:tc>
        <w:tc>
          <w:tcPr>
            <w:tcW w:w="1701" w:type="dxa"/>
            <w:vAlign w:val="center"/>
          </w:tcPr>
          <w:p w:rsidR="003A15AD" w:rsidRPr="0097682E" w:rsidRDefault="003A15AD" w:rsidP="004D5E05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97682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Instrukcija i  uputstvo za glasanje</w:t>
            </w:r>
          </w:p>
        </w:tc>
        <w:tc>
          <w:tcPr>
            <w:tcW w:w="2268" w:type="dxa"/>
            <w:vAlign w:val="center"/>
          </w:tcPr>
          <w:p w:rsidR="003A15AD" w:rsidRPr="0097682E" w:rsidRDefault="003A15AD" w:rsidP="004D5E05">
            <w:pPr>
              <w:pStyle w:val="BodyTextIndent"/>
              <w:ind w:firstLine="0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</w:pPr>
            <w:r w:rsidRPr="0097682E">
              <w:rPr>
                <w:rFonts w:ascii="Arial Narrow" w:hAnsi="Arial Narrow"/>
                <w:b/>
                <w:bCs/>
                <w:noProof/>
                <w:sz w:val="18"/>
                <w:szCs w:val="18"/>
                <w:lang w:val="sr-Latn-CS"/>
              </w:rPr>
              <w:t>Svojeručni potpis aksionara koji daje punomoćje</w:t>
            </w:r>
          </w:p>
        </w:tc>
      </w:tr>
      <w:tr w:rsidR="003A15AD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A15AD" w:rsidRPr="0097682E" w:rsidRDefault="003A15AD" w:rsidP="004D5E05">
            <w:pPr>
              <w:ind w:left="27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</w:p>
        </w:tc>
        <w:tc>
          <w:tcPr>
            <w:tcW w:w="1701" w:type="dxa"/>
          </w:tcPr>
          <w:p w:rsidR="003A15AD" w:rsidRPr="0097682E" w:rsidRDefault="003A15AD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A15AD" w:rsidRPr="0097682E" w:rsidRDefault="003A15AD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97682E" w:rsidRDefault="00331DC3" w:rsidP="00457385">
            <w:pPr>
              <w:ind w:left="27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97682E">
              <w:rPr>
                <w:rFonts w:ascii="Arial Narrow" w:hAnsi="Arial Narrow"/>
                <w:b/>
                <w:sz w:val="18"/>
                <w:szCs w:val="18"/>
                <w:lang w:val="sr-Latn-CS"/>
              </w:rPr>
              <w:t>1</w:t>
            </w:r>
            <w:r w:rsidRPr="0097682E">
              <w:rPr>
                <w:rFonts w:ascii="Arial Narrow" w:hAnsi="Arial Narrow"/>
                <w:sz w:val="18"/>
                <w:szCs w:val="18"/>
                <w:lang w:val="sr-Latn-CS"/>
              </w:rPr>
              <w:t xml:space="preserve">. </w:t>
            </w:r>
            <w:r w:rsidRPr="0097682E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Donošenje Odluke o usvajanju Zapisnika sa vanredne sednice Skupštine akcionara </w:t>
            </w:r>
            <w:r w:rsidRPr="0097682E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„Kikindski mlin“ AD Kikinda</w:t>
            </w:r>
            <w:r w:rsidRPr="0097682E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 od </w:t>
            </w:r>
            <w:r w:rsidR="00457385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19.06.2017</w:t>
            </w:r>
            <w:r w:rsidRPr="0097682E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 godine.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97682E" w:rsidRDefault="00331DC3" w:rsidP="00457385">
            <w:pPr>
              <w:ind w:left="27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2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. Donošenje Odluke o usvajanju finansijskih izveštaja 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„Kikindski mlin“ AD Kikinda 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sa stanjem na dan 31.12.201</w:t>
            </w:r>
            <w:r w:rsidR="00457385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97682E" w:rsidRDefault="00331DC3" w:rsidP="00457385">
            <w:pPr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3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. Donošenje Odluke o usvajanju izveštaja nezavisnog revizora 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eastAsia="sr-Latn-CS"/>
              </w:rPr>
              <w:t>Baker Tilly WB Revizija DOO Beograd i Baker Tilly Discordia DOO Zagreb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 po osnovu obavljene revizije finansijskih izveštaja 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„Kikindski mlin“ AD Kikinda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 za 201</w:t>
            </w:r>
            <w:r w:rsidR="00457385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 godinu.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97682E" w:rsidRDefault="00331DC3" w:rsidP="00457385">
            <w:pPr>
              <w:ind w:left="27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4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. Donošenje Odluke o usvajanju Godišnjeg izveštaja 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„Kikindski mlin“ AD Kikinda 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za 201</w:t>
            </w:r>
            <w:r w:rsidR="00457385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 godinu sa stanjem na dan 31.12.201</w:t>
            </w:r>
            <w:r w:rsidR="00457385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 godine.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3D6B18" w:rsidRDefault="00331DC3" w:rsidP="00457385">
            <w:pPr>
              <w:tabs>
                <w:tab w:val="num" w:pos="0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bookmarkStart w:id="0" w:name="_GoBack" w:colFirst="0" w:colLast="0"/>
            <w:r w:rsidRPr="003D6B18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5</w:t>
            </w:r>
            <w:r w:rsidRPr="003D6B1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. Donošenje Odluke o </w:t>
            </w:r>
            <w:r w:rsidRPr="003D6B1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pokriću ostvarenog gubitka u 201</w:t>
            </w:r>
            <w:r w:rsidR="00457385" w:rsidRPr="003D6B1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6</w:t>
            </w:r>
            <w:r w:rsidRPr="003D6B1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 xml:space="preserve">. godini u iznosu od </w:t>
            </w:r>
            <w:r w:rsidR="00457385" w:rsidRPr="003D6B18">
              <w:rPr>
                <w:rFonts w:ascii="Arial Narrow" w:eastAsia="Calibri" w:hAnsi="Arial Narrow" w:cs="Arial"/>
                <w:sz w:val="18"/>
                <w:szCs w:val="18"/>
                <w:lang w:val="hr-HR"/>
              </w:rPr>
              <w:t>98.362.419,35</w:t>
            </w:r>
            <w:r w:rsidRPr="003D6B18">
              <w:rPr>
                <w:rFonts w:ascii="Arial Narrow" w:eastAsia="Calibri" w:hAnsi="Arial Narrow" w:cs="Times New Roman"/>
                <w:sz w:val="18"/>
                <w:szCs w:val="18"/>
                <w:lang w:val="hr-HR"/>
              </w:rPr>
              <w:t xml:space="preserve"> </w:t>
            </w:r>
            <w:r w:rsidRPr="003D6B18"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  <w:t>dinara iz neraspoređene dobiti iz ranijih godina.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bookmarkEnd w:id="0"/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97682E" w:rsidRDefault="00331DC3" w:rsidP="00457385">
            <w:pPr>
              <w:tabs>
                <w:tab w:val="num" w:pos="0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 Donošenje Odluke o usvajanju Izveštaja o radu Nadzornog odbora “Kikindski mlin” AD Kikinda za 201</w:t>
            </w:r>
            <w:r w:rsidR="00457385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6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>. godinu.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  <w:tr w:rsidR="00331DC3" w:rsidRPr="0097682E" w:rsidTr="004D5E05">
        <w:trPr>
          <w:trHeight w:val="340"/>
        </w:trPr>
        <w:tc>
          <w:tcPr>
            <w:tcW w:w="6804" w:type="dxa"/>
            <w:vAlign w:val="center"/>
          </w:tcPr>
          <w:p w:rsidR="00331DC3" w:rsidRPr="0097682E" w:rsidRDefault="00331DC3" w:rsidP="00457385">
            <w:pPr>
              <w:tabs>
                <w:tab w:val="num" w:pos="0"/>
              </w:tabs>
              <w:jc w:val="both"/>
              <w:rPr>
                <w:rFonts w:ascii="Arial Narrow" w:eastAsia="Times New Roman" w:hAnsi="Arial Narrow" w:cs="Arial"/>
                <w:sz w:val="18"/>
                <w:szCs w:val="18"/>
                <w:lang w:val="sr-Latn-CS" w:eastAsia="sr-Latn-CS"/>
              </w:rPr>
            </w:pPr>
            <w:r w:rsidRPr="004459E8">
              <w:rPr>
                <w:rFonts w:ascii="Arial Narrow" w:eastAsia="Times New Roman" w:hAnsi="Arial Narrow" w:cs="Arial"/>
                <w:b/>
                <w:sz w:val="18"/>
                <w:szCs w:val="18"/>
                <w:lang w:val="pt-PT" w:eastAsia="sr-Latn-CS"/>
              </w:rPr>
              <w:t>7</w:t>
            </w:r>
            <w:r w:rsidRPr="004459E8">
              <w:rPr>
                <w:rFonts w:ascii="Arial Narrow" w:eastAsia="Times New Roman" w:hAnsi="Arial Narrow" w:cs="Arial"/>
                <w:sz w:val="18"/>
                <w:szCs w:val="18"/>
                <w:lang w:val="pt-PT" w:eastAsia="sr-Latn-CS"/>
              </w:rPr>
              <w:t xml:space="preserve">. </w:t>
            </w:r>
            <w:r w:rsidR="00F758DF" w:rsidRPr="00F758DF">
              <w:rPr>
                <w:rFonts w:ascii="Arial Narrow" w:hAnsi="Arial Narrow" w:cs="Arial"/>
                <w:sz w:val="18"/>
                <w:szCs w:val="18"/>
                <w:lang w:val="pt-PT" w:eastAsia="sr-Latn-CS"/>
              </w:rPr>
              <w:t xml:space="preserve">Donošenje Odluke </w:t>
            </w:r>
            <w:r w:rsidR="00F758DF" w:rsidRPr="00F758DF">
              <w:rPr>
                <w:rFonts w:ascii="Arial Narrow" w:hAnsi="Arial Narrow" w:cs="Arial"/>
                <w:sz w:val="18"/>
                <w:szCs w:val="18"/>
                <w:lang w:val="sr-Latn-CS" w:eastAsia="sr-Latn-CS"/>
              </w:rPr>
              <w:t>o izboru revizora PREDUZEĆE ZA REVIZIJU ,RAČUNOVODSTVENE, FINANSIJSKE  I KONSALTING USLUGE  PRICEWATERHOUSECOOPERS DOO BEOGRAD   na adresi  Omladinskih brigada  88a. Novi Beograd. za 2017. godinu.</w:t>
            </w:r>
          </w:p>
        </w:tc>
        <w:tc>
          <w:tcPr>
            <w:tcW w:w="1701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  <w:tc>
          <w:tcPr>
            <w:tcW w:w="2268" w:type="dxa"/>
          </w:tcPr>
          <w:p w:rsidR="00331DC3" w:rsidRPr="0097682E" w:rsidRDefault="00331DC3" w:rsidP="004D5E05">
            <w:pPr>
              <w:pStyle w:val="BodyTextIndent"/>
              <w:ind w:firstLine="0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sr-Latn-CS"/>
              </w:rPr>
            </w:pPr>
          </w:p>
        </w:tc>
      </w:tr>
    </w:tbl>
    <w:p w:rsidR="0097682E" w:rsidRDefault="0097682E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B12E49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delu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kome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nisam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instrukcije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naloge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izjavljujem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saglasan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/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gore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navedeni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moje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moj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račun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svojoj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savesti</w:t>
      </w:r>
      <w:r w:rsidR="00846D32" w:rsidRPr="007940C0"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  <w:t xml:space="preserve"> _</w:t>
      </w:r>
      <w:r w:rsidR="00B12E49" w:rsidRPr="007940C0"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  <w:t>________</w:t>
      </w:r>
      <w:r w:rsidR="00846D32" w:rsidRPr="007940C0"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  <w:t>_______________________</w:t>
      </w:r>
    </w:p>
    <w:p w:rsidR="00846D32" w:rsidRPr="007940C0" w:rsidRDefault="00B12E49" w:rsidP="00846D32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                                                                                                         </w:t>
      </w:r>
      <w:r w:rsidR="00846D32" w:rsidRPr="001F1A9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/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svojeručan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potpis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daje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  <w:t>/</w:t>
      </w:r>
    </w:p>
    <w:p w:rsidR="00F41441" w:rsidRPr="007940C0" w:rsidRDefault="00F41441" w:rsidP="00846D32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lang w:val="sr-Latn-CS"/>
        </w:rPr>
      </w:pPr>
    </w:p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važi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isključivo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navedenu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sednicu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njen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eventualni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nastavak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ponavnanje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izdaje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mora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biti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overeno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skladu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zakonom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kojim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vrši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overa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potpisa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846D32" w:rsidRPr="007940C0" w:rsidRDefault="00846D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</w:p>
    <w:p w:rsidR="00FF1CD7" w:rsidRPr="001F1A90" w:rsidRDefault="00B12E49" w:rsidP="00FF1CD7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________________</w:t>
      </w:r>
      <w:r w:rsidR="00FF1CD7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___</w:t>
      </w:r>
      <w:r w:rsidR="00FF1CD7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___</w:t>
      </w:r>
      <w:r w:rsidR="00FF1CD7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.201</w:t>
      </w:r>
      <w:r w:rsidR="00457385">
        <w:rPr>
          <w:rFonts w:ascii="Arial Narrow" w:hAnsi="Arial Narrow" w:cs="Times New Roman"/>
          <w:noProof/>
          <w:sz w:val="18"/>
          <w:szCs w:val="18"/>
          <w:lang w:val="sr-Latn-CS"/>
        </w:rPr>
        <w:t>7</w:t>
      </w:r>
      <w:r w:rsidR="00FF1CD7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.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godine</w:t>
      </w:r>
    </w:p>
    <w:p w:rsidR="00846D32" w:rsidRPr="001F1A90" w:rsidRDefault="00846D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Mesto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datum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davanja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punomoćja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846D32" w:rsidRPr="007940C0" w:rsidRDefault="00846D32" w:rsidP="00846D32">
      <w:pPr>
        <w:spacing w:after="0" w:line="240" w:lineRule="auto"/>
        <w:jc w:val="both"/>
        <w:rPr>
          <w:rFonts w:ascii="Arial Narrow" w:hAnsi="Arial Narrow" w:cs="Times New Roman"/>
          <w:i/>
          <w:noProof/>
          <w:sz w:val="18"/>
          <w:szCs w:val="18"/>
          <w:lang w:val="sr-Latn-CS"/>
        </w:rPr>
      </w:pPr>
    </w:p>
    <w:p w:rsidR="00F758DF" w:rsidRDefault="00F758DF">
      <w:pPr>
        <w:rPr>
          <w:rFonts w:ascii="Arial Narrow" w:hAnsi="Arial Narrow" w:cs="Times New Roman"/>
          <w:i/>
          <w:noProof/>
          <w:sz w:val="18"/>
          <w:szCs w:val="18"/>
          <w:lang w:val="sr-Latn-CS"/>
        </w:rPr>
      </w:pPr>
      <w:r>
        <w:rPr>
          <w:rFonts w:ascii="Arial Narrow" w:hAnsi="Arial Narrow" w:cs="Times New Roman"/>
          <w:i/>
          <w:noProof/>
          <w:sz w:val="18"/>
          <w:szCs w:val="18"/>
          <w:lang w:val="sr-Latn-CS"/>
        </w:rPr>
        <w:br w:type="page"/>
      </w:r>
    </w:p>
    <w:p w:rsidR="00FF1CD7" w:rsidRPr="007940C0" w:rsidRDefault="00FF1CD7" w:rsidP="00846D32">
      <w:pPr>
        <w:spacing w:after="0" w:line="240" w:lineRule="auto"/>
        <w:jc w:val="both"/>
        <w:rPr>
          <w:rFonts w:ascii="Arial Narrow" w:hAnsi="Arial Narrow" w:cs="Times New Roman"/>
          <w:i/>
          <w:noProof/>
          <w:sz w:val="18"/>
          <w:szCs w:val="18"/>
          <w:lang w:val="sr-Latn-CS"/>
        </w:rPr>
      </w:pPr>
    </w:p>
    <w:p w:rsidR="00846D32" w:rsidRPr="007940C0" w:rsidRDefault="00311732" w:rsidP="00846D32">
      <w:pPr>
        <w:spacing w:after="0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DAVALAC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-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Akcionar</w:t>
      </w:r>
    </w:p>
    <w:p w:rsidR="00B12E49" w:rsidRPr="007940C0" w:rsidRDefault="00B12E49" w:rsidP="00B12E49">
      <w:pPr>
        <w:spacing w:before="120" w:after="12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____________________________________, </w:t>
      </w:r>
      <w:r w:rsidR="003117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JMBG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/</w:t>
      </w:r>
      <w:r w:rsidR="003117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MB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:_____________________;  </w:t>
      </w:r>
      <w:r w:rsidR="00311732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ul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_________________________ </w:t>
      </w:r>
    </w:p>
    <w:p w:rsidR="00B12E49" w:rsidRPr="007940C0" w:rsidRDefault="00311732" w:rsidP="00B12E49">
      <w:pPr>
        <w:spacing w:after="0" w:line="240" w:lineRule="auto"/>
        <w:jc w:val="both"/>
        <w:rPr>
          <w:rFonts w:ascii="Arial Narrow" w:hAnsi="Arial Narrow" w:cs="Times New Roman"/>
          <w:b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br</w:t>
      </w:r>
      <w:r w:rsidR="00B12E49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. ______ ,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koga</w:t>
      </w:r>
      <w:r w:rsidR="00B12E49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>zastupa</w:t>
      </w:r>
      <w:r w:rsidR="00B12E49" w:rsidRPr="007940C0">
        <w:rPr>
          <w:rFonts w:ascii="Arial Narrow" w:hAnsi="Arial Narrow" w:cs="Times New Roman"/>
          <w:b/>
          <w:noProof/>
          <w:sz w:val="18"/>
          <w:szCs w:val="18"/>
          <w:lang w:val="sr-Latn-CS"/>
        </w:rPr>
        <w:t xml:space="preserve"> ________________________________________________</w:t>
      </w:r>
    </w:p>
    <w:p w:rsidR="00846D32" w:rsidRPr="001F1A90" w:rsidRDefault="00846D32" w:rsidP="00F4144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Uneti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: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jedinstveni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građana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br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lične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karte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akcionar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fizičko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lice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odnosno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poslovno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matični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sedište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lic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ime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prezime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zakonskog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zastupnika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ili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lica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koje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zaposleno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organu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pravnog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lica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846D32" w:rsidRPr="007940C0" w:rsidRDefault="00846D32" w:rsidP="00846D32">
      <w:pPr>
        <w:spacing w:after="0" w:line="240" w:lineRule="auto"/>
        <w:ind w:left="720"/>
        <w:jc w:val="both"/>
        <w:rPr>
          <w:rFonts w:ascii="Arial Narrow" w:hAnsi="Arial Narrow" w:cs="Times New Roman"/>
          <w:i/>
          <w:noProof/>
          <w:sz w:val="18"/>
          <w:szCs w:val="18"/>
          <w:lang w:val="sr-Latn-CS"/>
        </w:rPr>
      </w:pPr>
    </w:p>
    <w:p w:rsidR="00846D32" w:rsidRPr="001F1A90" w:rsidRDefault="00311732" w:rsidP="00F4144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Imalac</w:t>
      </w:r>
      <w:r w:rsidR="001A1B91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:</w:t>
      </w:r>
      <w:r w:rsidR="00B12E49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_______</w:t>
      </w:r>
      <w:r w:rsidR="001A1B91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akcije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</w:t>
      </w:r>
      <w:r w:rsidR="001A1B91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                                                                         </w:t>
      </w:r>
      <w:r w:rsidR="00846D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_________________________________________________________</w:t>
      </w:r>
    </w:p>
    <w:p w:rsidR="00846D32" w:rsidRPr="001F1A90" w:rsidRDefault="00846D32" w:rsidP="001A1B91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Uneti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broj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akcija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koje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poseduje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davalac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punomoćja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ab/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ab/>
      </w:r>
      <w:r w:rsidR="001A1B91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                                 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Svojeručan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potpis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akcionara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daje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="00311732"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punomoćje</w:t>
      </w:r>
      <w:r w:rsidRPr="001F1A90">
        <w:rPr>
          <w:rFonts w:ascii="Arial Narrow" w:hAnsi="Arial Narrow" w:cs="Times New Roman"/>
          <w:noProof/>
          <w:sz w:val="18"/>
          <w:szCs w:val="18"/>
          <w:lang w:val="sr-Latn-CS"/>
        </w:rPr>
        <w:t>/</w:t>
      </w:r>
    </w:p>
    <w:p w:rsidR="00846D32" w:rsidRPr="007940C0" w:rsidRDefault="00846D32" w:rsidP="00846D32">
      <w:pPr>
        <w:spacing w:after="0" w:line="240" w:lineRule="auto"/>
        <w:ind w:left="720"/>
        <w:jc w:val="both"/>
        <w:rPr>
          <w:rFonts w:ascii="Arial Narrow" w:hAnsi="Arial Narrow" w:cs="Times New Roman"/>
          <w:i/>
          <w:noProof/>
          <w:sz w:val="18"/>
          <w:szCs w:val="18"/>
          <w:lang w:val="sr-Latn-CS"/>
        </w:rPr>
      </w:pPr>
    </w:p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</w:pPr>
      <w:r w:rsidRPr="007940C0"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  <w:t>NAPOMENE</w:t>
      </w:r>
      <w:r w:rsidR="00846D32" w:rsidRPr="007940C0">
        <w:rPr>
          <w:rFonts w:ascii="Arial Narrow" w:hAnsi="Arial Narrow" w:cs="Times New Roman"/>
          <w:b/>
          <w:i/>
          <w:noProof/>
          <w:sz w:val="18"/>
          <w:szCs w:val="18"/>
          <w:u w:val="single"/>
          <w:lang w:val="sr-Latn-CS"/>
        </w:rPr>
        <w:t>: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putem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ovlasti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određeno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njegovo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ime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učestvuje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radu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,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uključujući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njegovo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ime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ista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pogledu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učešća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radu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ovlastio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propiše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posebne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uslove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ispunjava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ograničiti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njihov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broj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izdato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većem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broju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smatraće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svako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ponaosob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ovlašćen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pristupi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više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jednog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istog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osnovu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istih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će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prihvatiti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najkasnijim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datumom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više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jednog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imaju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najkasniji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datum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ovlašćeno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prihvati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samo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jedno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tih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spacing w:after="0" w:line="240" w:lineRule="auto"/>
        <w:jc w:val="both"/>
        <w:rPr>
          <w:rFonts w:ascii="Arial Narrow" w:hAnsi="Arial Narrow" w:cs="Times New Roman"/>
          <w:noProof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fizičko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overeno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skladu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zakonom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koji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uređuje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overu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potpisa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suprotnom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shodno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članu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344.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stav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7.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Zakona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privrednim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društvima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ne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proizvodi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pravno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dejstvo</w:t>
      </w:r>
      <w:r w:rsidR="00846D32" w:rsidRPr="007940C0">
        <w:rPr>
          <w:rFonts w:ascii="Arial Narrow" w:hAnsi="Arial Narrow" w:cs="Times New Roman"/>
          <w:noProof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elektronskim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putem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elektronskim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putem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potpisano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kvalifikovanim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elektronskim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potpisom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skladu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uređuje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elektronski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potpis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pStyle w:val="BodyText2"/>
        <w:rPr>
          <w:rFonts w:ascii="Arial Narrow" w:hAnsi="Arial Narrow"/>
          <w:noProof/>
          <w:sz w:val="18"/>
          <w:szCs w:val="18"/>
          <w:u w:val="single"/>
          <w:lang w:val="sr-Latn-CS"/>
        </w:rPr>
      </w:pPr>
      <w:r w:rsidRPr="007940C0">
        <w:rPr>
          <w:rFonts w:ascii="Arial Narrow" w:hAnsi="Arial Narrow"/>
          <w:noProof/>
          <w:sz w:val="18"/>
          <w:szCs w:val="18"/>
          <w:lang w:val="sr-Latn-CS"/>
        </w:rPr>
        <w:t>Ovo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su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dužni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dostave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Društvu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najkasnije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tri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radna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dana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pre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dana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održavanja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sednice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sedištu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Društva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kopiji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uz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kopiju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dostave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original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uvid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sedište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društva</w:t>
      </w:r>
      <w:r w:rsidR="00B12E49" w:rsidRPr="007940C0">
        <w:rPr>
          <w:rFonts w:ascii="Arial Narrow" w:hAnsi="Arial Narrow"/>
          <w:noProof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pStyle w:val="BodyText2"/>
        <w:rPr>
          <w:rFonts w:ascii="Arial Narrow" w:hAnsi="Arial Narrow"/>
          <w:noProof/>
          <w:sz w:val="18"/>
          <w:szCs w:val="18"/>
          <w:lang w:val="sr-Latn-CS"/>
        </w:rPr>
      </w:pPr>
      <w:r w:rsidRPr="007940C0">
        <w:rPr>
          <w:rFonts w:ascii="Arial Narrow" w:hAnsi="Arial Narrow"/>
          <w:noProof/>
          <w:sz w:val="18"/>
          <w:szCs w:val="18"/>
          <w:lang w:val="sr-Latn-CS"/>
        </w:rPr>
        <w:t>Uz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elektronskim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putem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dostavlja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fotokopiju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važeće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lične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karte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ovlašćenog</w:t>
      </w:r>
      <w:r w:rsidR="00FF0655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lica</w:t>
      </w:r>
      <w:r w:rsidR="00FF0655" w:rsidRPr="007940C0">
        <w:rPr>
          <w:rFonts w:ascii="Arial Narrow" w:hAnsi="Arial Narrow"/>
          <w:noProof/>
          <w:sz w:val="18"/>
          <w:szCs w:val="18"/>
          <w:lang w:val="sr-Latn-CS"/>
        </w:rPr>
        <w:t>,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a</w:t>
      </w:r>
      <w:r w:rsidR="00FF0655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kod</w:t>
      </w:r>
      <w:r w:rsidR="00FF0655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pravnog</w:t>
      </w:r>
      <w:r w:rsidR="00FF0655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lica</w:t>
      </w:r>
      <w:r w:rsidR="00FF0655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fotokopiju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lične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karte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zakonskog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zastupnika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drugog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ovlašćenog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koje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isključivo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biti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član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organa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tog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pravnog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njegov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zaposleni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izvod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iz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APR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>-</w:t>
      </w:r>
      <w:r w:rsidRPr="007940C0">
        <w:rPr>
          <w:rFonts w:ascii="Arial Narrow" w:hAnsi="Arial Narrow"/>
          <w:noProof/>
          <w:sz w:val="18"/>
          <w:szCs w:val="18"/>
          <w:lang w:val="sr-Latn-CS"/>
        </w:rPr>
        <w:t>a</w:t>
      </w:r>
      <w:r w:rsidR="00846D32" w:rsidRPr="007940C0">
        <w:rPr>
          <w:rFonts w:ascii="Arial Narrow" w:hAnsi="Arial Narrow"/>
          <w:noProof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Strana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dostavljaju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originalno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original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prevoda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overena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lična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dokumenta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izvode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nadležnih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registara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zajedno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prevodom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strane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nadležnog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organa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RSbiji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Nakon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održavanja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dužan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obavesti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načinu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jednu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6A0616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koja</w:t>
      </w:r>
      <w:r w:rsidR="006A0616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će</w:t>
      </w:r>
      <w:r w:rsidR="006A0616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6A0616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održati</w:t>
      </w:r>
      <w:r w:rsidR="006A0616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2</w:t>
      </w:r>
      <w:r w:rsidR="00331DC3">
        <w:rPr>
          <w:rFonts w:ascii="Arial Narrow" w:hAnsi="Arial Narrow" w:cs="Times New Roman"/>
          <w:b/>
          <w:noProof/>
          <w:sz w:val="18"/>
          <w:szCs w:val="18"/>
          <w:lang w:val="sr-Latn-CS"/>
        </w:rPr>
        <w:t>9</w:t>
      </w:r>
      <w:r w:rsidR="00726723" w:rsidRPr="003A15AD">
        <w:rPr>
          <w:rFonts w:ascii="Arial Narrow" w:hAnsi="Arial Narrow" w:cs="Times New Roman"/>
          <w:b/>
          <w:noProof/>
          <w:sz w:val="18"/>
          <w:szCs w:val="18"/>
          <w:lang w:val="sr-Latn-CS"/>
        </w:rPr>
        <w:t>.06.201</w:t>
      </w:r>
      <w:r w:rsidR="00457385">
        <w:rPr>
          <w:rFonts w:ascii="Arial Narrow" w:hAnsi="Arial Narrow" w:cs="Times New Roman"/>
          <w:b/>
          <w:noProof/>
          <w:sz w:val="18"/>
          <w:szCs w:val="18"/>
          <w:lang w:val="sr-Latn-CS"/>
        </w:rPr>
        <w:t>7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godine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važi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eventualno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ponovljenu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nije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prenosivo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vrši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preko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svog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zakonskog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zastupnika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drugog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posebno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ovlašćenog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isključivo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član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organa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pravnog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njegov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zaposleni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svako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ispunjava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uslova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člana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345.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privrednim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("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Sl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RSrbije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",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br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36/2011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99/2011).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jedno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ovlašćeno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strane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više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kao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vršiti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različito</w:t>
      </w:r>
      <w:r w:rsidR="00F25213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svakog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tih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izmeni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opozove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svakom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trenutku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održavanja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pisanim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putem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uslovom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tome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održavanja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obavesti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Izmena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opoziv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vrši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shodnom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primenom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odredaba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davanju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Smatra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opozvano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lično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pristupi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F4144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Identifikacija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njihovih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prisustvuju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koji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učestvuju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njenom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radu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vrši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skladu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članom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350.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privrednim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("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Sl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glasnik</w:t>
      </w:r>
      <w:r w:rsidR="00D63885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RS</w:t>
      </w:r>
      <w:r w:rsidR="00D63885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",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br</w:t>
      </w:r>
      <w:r w:rsidR="00D63885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36/2011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D63885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99/2011)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D63885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Statuta</w:t>
      </w:r>
      <w:r w:rsidR="00D63885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sadrži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uputstva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naloge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ostvarivanje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dužan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postupa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njima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sadrži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uputstvo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dužan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savesno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najboljem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interesu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propisuje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obaveznu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upotrebu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ovog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davanje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Punomoćnik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odgovoran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štetu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akcionaru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ako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pravo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vrši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suprotnosti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odredbom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stava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14.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člana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344.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privrednim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,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ta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odgovornost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može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unapred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naknadno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ograničiti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ili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isključiti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846D32" w:rsidRPr="007940C0" w:rsidRDefault="00311732" w:rsidP="00846D3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</w:pP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Formular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punomoćja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glasanje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narednoj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sednici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Skupštine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biće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objavljen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skladu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sa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Zakonom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o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privrednim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 xml:space="preserve"> </w:t>
      </w:r>
      <w:r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društvima</w:t>
      </w:r>
      <w:r w:rsidR="00846D32" w:rsidRPr="007940C0">
        <w:rPr>
          <w:rFonts w:ascii="Arial Narrow" w:hAnsi="Arial Narrow" w:cs="Times New Roman"/>
          <w:noProof/>
          <w:color w:val="000000"/>
          <w:sz w:val="18"/>
          <w:szCs w:val="18"/>
          <w:lang w:val="sr-Latn-CS"/>
        </w:rPr>
        <w:t>.</w:t>
      </w:r>
    </w:p>
    <w:p w:rsidR="00027A11" w:rsidRPr="007940C0" w:rsidRDefault="00027A11">
      <w:pPr>
        <w:rPr>
          <w:rFonts w:ascii="Arial Narrow" w:hAnsi="Arial Narrow"/>
          <w:noProof/>
          <w:sz w:val="18"/>
          <w:szCs w:val="18"/>
          <w:lang w:val="sr-Latn-CS"/>
        </w:rPr>
      </w:pPr>
    </w:p>
    <w:sectPr w:rsidR="00027A11" w:rsidRPr="007940C0" w:rsidSect="00846D32">
      <w:pgSz w:w="12240" w:h="15840" w:code="1"/>
      <w:pgMar w:top="851" w:right="76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3485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151D8"/>
    <w:multiLevelType w:val="hybridMultilevel"/>
    <w:tmpl w:val="7C5A2A34"/>
    <w:lvl w:ilvl="0" w:tplc="7EAE71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D32"/>
    <w:rsid w:val="00027A11"/>
    <w:rsid w:val="00040375"/>
    <w:rsid w:val="00074D13"/>
    <w:rsid w:val="000C6534"/>
    <w:rsid w:val="000D1072"/>
    <w:rsid w:val="000F066A"/>
    <w:rsid w:val="001A1B91"/>
    <w:rsid w:val="001C2E52"/>
    <w:rsid w:val="001F1A90"/>
    <w:rsid w:val="001F2F3B"/>
    <w:rsid w:val="001F3974"/>
    <w:rsid w:val="001F55C0"/>
    <w:rsid w:val="002211E5"/>
    <w:rsid w:val="0022463D"/>
    <w:rsid w:val="00240884"/>
    <w:rsid w:val="0024423D"/>
    <w:rsid w:val="00286634"/>
    <w:rsid w:val="00296626"/>
    <w:rsid w:val="002F6772"/>
    <w:rsid w:val="00311732"/>
    <w:rsid w:val="00331DC3"/>
    <w:rsid w:val="0035270F"/>
    <w:rsid w:val="003777C2"/>
    <w:rsid w:val="003A15AD"/>
    <w:rsid w:val="003D6B18"/>
    <w:rsid w:val="00407EB7"/>
    <w:rsid w:val="00421D37"/>
    <w:rsid w:val="00425860"/>
    <w:rsid w:val="004269C9"/>
    <w:rsid w:val="00457385"/>
    <w:rsid w:val="004A4FF2"/>
    <w:rsid w:val="00506AD2"/>
    <w:rsid w:val="0058578B"/>
    <w:rsid w:val="005971E0"/>
    <w:rsid w:val="005D174E"/>
    <w:rsid w:val="005D17CC"/>
    <w:rsid w:val="005D3BAD"/>
    <w:rsid w:val="005F1F9A"/>
    <w:rsid w:val="0068234C"/>
    <w:rsid w:val="00693F56"/>
    <w:rsid w:val="006A0616"/>
    <w:rsid w:val="006A1EB2"/>
    <w:rsid w:val="006D2DDD"/>
    <w:rsid w:val="006E6DF9"/>
    <w:rsid w:val="006F499C"/>
    <w:rsid w:val="00705196"/>
    <w:rsid w:val="00720B51"/>
    <w:rsid w:val="00726723"/>
    <w:rsid w:val="007823AA"/>
    <w:rsid w:val="007940C0"/>
    <w:rsid w:val="007C6178"/>
    <w:rsid w:val="007D6E8D"/>
    <w:rsid w:val="00803168"/>
    <w:rsid w:val="008205FB"/>
    <w:rsid w:val="00845553"/>
    <w:rsid w:val="00846D32"/>
    <w:rsid w:val="00865A4F"/>
    <w:rsid w:val="00887525"/>
    <w:rsid w:val="0089042C"/>
    <w:rsid w:val="008B0266"/>
    <w:rsid w:val="008F1B51"/>
    <w:rsid w:val="0097682E"/>
    <w:rsid w:val="0097755A"/>
    <w:rsid w:val="00A11F76"/>
    <w:rsid w:val="00AB0CD1"/>
    <w:rsid w:val="00AE4C4E"/>
    <w:rsid w:val="00B0559F"/>
    <w:rsid w:val="00B12E49"/>
    <w:rsid w:val="00B32321"/>
    <w:rsid w:val="00B83C59"/>
    <w:rsid w:val="00BA79D8"/>
    <w:rsid w:val="00BD271B"/>
    <w:rsid w:val="00BF7731"/>
    <w:rsid w:val="00C1021D"/>
    <w:rsid w:val="00C23C41"/>
    <w:rsid w:val="00C63CCE"/>
    <w:rsid w:val="00C73CED"/>
    <w:rsid w:val="00CD181A"/>
    <w:rsid w:val="00CD3903"/>
    <w:rsid w:val="00CE3940"/>
    <w:rsid w:val="00CE7F46"/>
    <w:rsid w:val="00D276A7"/>
    <w:rsid w:val="00D3483C"/>
    <w:rsid w:val="00D572FD"/>
    <w:rsid w:val="00D63885"/>
    <w:rsid w:val="00D92785"/>
    <w:rsid w:val="00DD667C"/>
    <w:rsid w:val="00E2257E"/>
    <w:rsid w:val="00E40315"/>
    <w:rsid w:val="00E45A39"/>
    <w:rsid w:val="00E66F9C"/>
    <w:rsid w:val="00E841AB"/>
    <w:rsid w:val="00E97D62"/>
    <w:rsid w:val="00F25213"/>
    <w:rsid w:val="00F41441"/>
    <w:rsid w:val="00F42FD6"/>
    <w:rsid w:val="00F620EA"/>
    <w:rsid w:val="00F758DF"/>
    <w:rsid w:val="00F823DD"/>
    <w:rsid w:val="00F92074"/>
    <w:rsid w:val="00FC66F1"/>
    <w:rsid w:val="00FF065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5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1846-C95A-4BA8-8567-50700B7C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88</cp:revision>
  <cp:lastPrinted>2012-11-01T08:24:00Z</cp:lastPrinted>
  <dcterms:created xsi:type="dcterms:W3CDTF">2012-11-01T08:25:00Z</dcterms:created>
  <dcterms:modified xsi:type="dcterms:W3CDTF">2017-05-29T14:42:00Z</dcterms:modified>
</cp:coreProperties>
</file>